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247B0D30" w14:textId="484E246E" w:rsidR="00E20A0B" w:rsidRDefault="00000000" w:rsidP="00F90144">
      <w:pPr>
        <w:pStyle w:val="Heading1"/>
        <w:spacing w:after="0" w:line="360" w:lineRule="auto"/>
      </w:pPr>
      <w:r>
        <w:t>M2L5</w:t>
      </w:r>
      <w:r w:rsidR="002509C1">
        <w:t>.</w:t>
      </w:r>
      <w:r>
        <w:t xml:space="preserve"> Disarming </w:t>
      </w:r>
      <w:r w:rsidR="00F90144">
        <w:t>A</w:t>
      </w:r>
      <w:r>
        <w:t xml:space="preserve">nchoring </w:t>
      </w:r>
      <w:r w:rsidR="00F90144">
        <w:t>B</w:t>
      </w:r>
      <w:r>
        <w:t>ias</w:t>
      </w:r>
    </w:p>
    <w:p w14:paraId="63120330" w14:textId="77777777" w:rsidR="00F90144" w:rsidRDefault="00F90144" w:rsidP="00F901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F2E7A84" w14:textId="119F9232" w:rsidR="00F90144" w:rsidRDefault="00F90144" w:rsidP="00F90144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558FA364" wp14:editId="400E3653">
            <wp:extent cx="5731510" cy="3206115"/>
            <wp:effectExtent l="0" t="0" r="2540" b="0"/>
            <wp:docPr id="377772980" name="Picture 1" descr="Disarming Anchoring B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72980" name="Picture 1" descr="Disarming Anchoring Bias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1FD6" w14:textId="67CC06F5" w:rsidR="00F90144" w:rsidRDefault="00F90144" w:rsidP="00F901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90144">
        <w:rPr>
          <w:rFonts w:ascii="Open Sans" w:hAnsi="Open Sans" w:cs="Open Sans"/>
          <w:sz w:val="24"/>
          <w:szCs w:val="24"/>
        </w:rPr>
        <w:t>In this video, we will discuss how to disarm anchoring bias.</w:t>
      </w:r>
    </w:p>
    <w:p w14:paraId="15FDD364" w14:textId="77777777" w:rsidR="00F90144" w:rsidRDefault="00F90144" w:rsidP="00F901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762EB53" w14:textId="5473D3BB" w:rsidR="00F90144" w:rsidRDefault="00F90144" w:rsidP="00F90144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1046DB93" wp14:editId="0A462536">
            <wp:extent cx="5731510" cy="3220720"/>
            <wp:effectExtent l="0" t="0" r="2540" b="0"/>
            <wp:docPr id="1350825559" name="Picture 2" descr="Anchoring bias is less difficult to disarm than confirmation b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25559" name="Picture 2" descr="Anchoring bias is less difficult to disarm than confirmation bia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1FC3" w14:textId="77777777" w:rsidR="00F90144" w:rsidRDefault="00F90144" w:rsidP="00F901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90144">
        <w:rPr>
          <w:rFonts w:ascii="Open Sans" w:hAnsi="Open Sans" w:cs="Open Sans"/>
          <w:sz w:val="24"/>
          <w:szCs w:val="24"/>
        </w:rPr>
        <w:t>Anchoring bias is less difficult to disarm than confirmation bias.</w:t>
      </w:r>
    </w:p>
    <w:p w14:paraId="56EFF42D" w14:textId="0952B526" w:rsidR="00F90144" w:rsidRDefault="00F90144" w:rsidP="00F901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90144">
        <w:rPr>
          <w:rFonts w:ascii="Open Sans" w:hAnsi="Open Sans" w:cs="Open Sans"/>
          <w:sz w:val="24"/>
          <w:szCs w:val="24"/>
        </w:rPr>
        <w:t xml:space="preserve"> Anchoring bias can be disarmed by proposing a counter anchor, removing the anchor, and changing the reference point.</w:t>
      </w:r>
    </w:p>
    <w:p w14:paraId="25DBC6EB" w14:textId="77777777" w:rsidR="00F90144" w:rsidRDefault="00F90144" w:rsidP="00F901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655EC2F" w14:textId="77777777" w:rsidR="00F90144" w:rsidRDefault="00F90144" w:rsidP="00F901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307242C" w14:textId="53721955" w:rsidR="00F90144" w:rsidRDefault="00F90144" w:rsidP="00F90144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2E3BB96C" wp14:editId="04C164D6">
            <wp:extent cx="5731510" cy="3134360"/>
            <wp:effectExtent l="0" t="0" r="2540" b="8890"/>
            <wp:docPr id="10447956" name="Picture 3" descr="First Approach - Counter-anch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956" name="Picture 3" descr="First Approach - Counter-anchor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9015" w14:textId="77777777" w:rsidR="00F90144" w:rsidRPr="00F90144" w:rsidRDefault="00F90144" w:rsidP="00F901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90144">
        <w:rPr>
          <w:rFonts w:ascii="Open Sans" w:hAnsi="Open Sans" w:cs="Open Sans"/>
          <w:sz w:val="24"/>
          <w:szCs w:val="24"/>
        </w:rPr>
        <w:t>The first thing you can do is to propose a second counter anchor before the first one settles.</w:t>
      </w:r>
    </w:p>
    <w:p w14:paraId="475D4879" w14:textId="682091EB" w:rsidR="00F90144" w:rsidRDefault="00F90144" w:rsidP="00F901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90144">
        <w:rPr>
          <w:rFonts w:ascii="Open Sans" w:hAnsi="Open Sans" w:cs="Open Sans"/>
          <w:sz w:val="24"/>
          <w:szCs w:val="24"/>
        </w:rPr>
        <w:t xml:space="preserve">For example, if you think the two-month window is too aggressive, you can simply </w:t>
      </w:r>
      <w:r>
        <w:rPr>
          <w:rFonts w:ascii="Open Sans" w:hAnsi="Open Sans" w:cs="Open Sans"/>
          <w:sz w:val="24"/>
          <w:szCs w:val="24"/>
        </w:rPr>
        <w:t>de-</w:t>
      </w:r>
      <w:r w:rsidRPr="00F90144">
        <w:rPr>
          <w:rFonts w:ascii="Open Sans" w:hAnsi="Open Sans" w:cs="Open Sans"/>
          <w:sz w:val="24"/>
          <w:szCs w:val="24"/>
        </w:rPr>
        <w:t xml:space="preserve">anchor that by proposing another time frame. </w:t>
      </w:r>
    </w:p>
    <w:p w14:paraId="2B22D128" w14:textId="77777777" w:rsidR="00F90144" w:rsidRDefault="00F90144" w:rsidP="00F901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90144">
        <w:rPr>
          <w:rFonts w:ascii="Open Sans" w:hAnsi="Open Sans" w:cs="Open Sans"/>
          <w:sz w:val="24"/>
          <w:szCs w:val="24"/>
        </w:rPr>
        <w:t xml:space="preserve">For example, you can say we at least need six months to complete the project. </w:t>
      </w:r>
    </w:p>
    <w:p w14:paraId="3C311B82" w14:textId="77777777" w:rsidR="00F90144" w:rsidRDefault="00F90144" w:rsidP="00F901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90144">
        <w:rPr>
          <w:rFonts w:ascii="Open Sans" w:hAnsi="Open Sans" w:cs="Open Sans"/>
          <w:sz w:val="24"/>
          <w:szCs w:val="24"/>
        </w:rPr>
        <w:t xml:space="preserve">By doing so, you have already set a second anchor, which is more appropriate. </w:t>
      </w:r>
    </w:p>
    <w:p w14:paraId="6BB44CC5" w14:textId="71BEB4F5" w:rsidR="00F90144" w:rsidRPr="00F90144" w:rsidRDefault="00F90144" w:rsidP="00F901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90144">
        <w:rPr>
          <w:rFonts w:ascii="Open Sans" w:hAnsi="Open Sans" w:cs="Open Sans"/>
          <w:sz w:val="24"/>
          <w:szCs w:val="24"/>
        </w:rPr>
        <w:t>As you believe the second time frame is practical, ignore the first anchor and re anchor.</w:t>
      </w:r>
    </w:p>
    <w:p w14:paraId="280EEBDC" w14:textId="77777777" w:rsidR="00F90144" w:rsidRDefault="00F90144" w:rsidP="00F901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F30B262" w14:textId="3679CE7D" w:rsidR="00F90144" w:rsidRDefault="00F90144" w:rsidP="00F90144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502B211D" wp14:editId="7C167632">
            <wp:extent cx="5731510" cy="3197860"/>
            <wp:effectExtent l="0" t="0" r="2540" b="2540"/>
            <wp:docPr id="147603686" name="Picture 4" descr="Second Approach - Remove Anch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3686" name="Picture 4" descr="Second Approach - Remove Anchor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85A6" w14:textId="77777777" w:rsidR="00F90144" w:rsidRDefault="00F90144" w:rsidP="00F901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90144">
        <w:rPr>
          <w:rFonts w:ascii="Open Sans" w:hAnsi="Open Sans" w:cs="Open Sans"/>
          <w:sz w:val="24"/>
          <w:szCs w:val="24"/>
        </w:rPr>
        <w:t xml:space="preserve">You can remove the project's schedule anchor by saying, we need to first focus on what we want to achieve. </w:t>
      </w:r>
    </w:p>
    <w:p w14:paraId="359F2FD1" w14:textId="448AD656" w:rsidR="00F90144" w:rsidRDefault="00F90144" w:rsidP="00F901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90144">
        <w:rPr>
          <w:rFonts w:ascii="Open Sans" w:hAnsi="Open Sans" w:cs="Open Sans"/>
          <w:sz w:val="24"/>
          <w:szCs w:val="24"/>
        </w:rPr>
        <w:t>In the context of the company's goal, before talking about the project schedule, we need to talk about our project objectives and the scope.</w:t>
      </w:r>
    </w:p>
    <w:p w14:paraId="05FC03F3" w14:textId="77777777" w:rsidR="00F90144" w:rsidRDefault="00F90144" w:rsidP="00F901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53065F3" w14:textId="4DC04FD5" w:rsidR="00F90144" w:rsidRDefault="00F90144" w:rsidP="00F90144">
      <w:pPr>
        <w:pStyle w:val="Heading2"/>
        <w:spacing w:before="120" w:line="360" w:lineRule="auto"/>
      </w:pPr>
      <w:r>
        <w:lastRenderedPageBreak/>
        <w:t>Slide #5</w:t>
      </w:r>
      <w:r>
        <w:rPr>
          <w:noProof/>
        </w:rPr>
        <w:drawing>
          <wp:inline distT="0" distB="0" distL="0" distR="0" wp14:anchorId="62A223D9" wp14:editId="6968FF49">
            <wp:extent cx="5731510" cy="3208655"/>
            <wp:effectExtent l="0" t="0" r="2540" b="0"/>
            <wp:docPr id="819090256" name="Picture 5" descr="Third Approach - Change Reference 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90256" name="Picture 5" descr="Third Approach - Change Reference Poi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79DA" w14:textId="77777777" w:rsidR="00F90144" w:rsidRPr="00F90144" w:rsidRDefault="00F90144" w:rsidP="00F901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90144">
        <w:rPr>
          <w:rFonts w:ascii="Open Sans" w:hAnsi="Open Sans" w:cs="Open Sans"/>
          <w:sz w:val="24"/>
          <w:szCs w:val="24"/>
        </w:rPr>
        <w:t xml:space="preserve">The third approach is to change the reference point. This is a </w:t>
      </w:r>
      <w:proofErr w:type="gramStart"/>
      <w:r w:rsidRPr="00F90144">
        <w:rPr>
          <w:rFonts w:ascii="Open Sans" w:hAnsi="Open Sans" w:cs="Open Sans"/>
          <w:sz w:val="24"/>
          <w:szCs w:val="24"/>
        </w:rPr>
        <w:t>more soft</w:t>
      </w:r>
      <w:proofErr w:type="gramEnd"/>
      <w:r w:rsidRPr="00F90144">
        <w:rPr>
          <w:rFonts w:ascii="Open Sans" w:hAnsi="Open Sans" w:cs="Open Sans"/>
          <w:sz w:val="24"/>
          <w:szCs w:val="24"/>
        </w:rPr>
        <w:t xml:space="preserve"> approach.</w:t>
      </w:r>
    </w:p>
    <w:p w14:paraId="3C947BAF" w14:textId="77777777" w:rsidR="00F90144" w:rsidRPr="00F90144" w:rsidRDefault="00F90144" w:rsidP="00F901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90144">
        <w:rPr>
          <w:rFonts w:ascii="Open Sans" w:hAnsi="Open Sans" w:cs="Open Sans"/>
          <w:sz w:val="24"/>
          <w:szCs w:val="24"/>
        </w:rPr>
        <w:t>For example, you can say, the schedule is just a small portion of the project, and we need to look at other aspects of the project.</w:t>
      </w:r>
    </w:p>
    <w:p w14:paraId="25238BA0" w14:textId="77777777" w:rsidR="00F90144" w:rsidRDefault="00F90144" w:rsidP="00F901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A5FEC81" w14:textId="1592B117" w:rsidR="00F90144" w:rsidRDefault="00F90144" w:rsidP="00F90144">
      <w:pPr>
        <w:pStyle w:val="Heading2"/>
        <w:spacing w:before="120" w:line="360" w:lineRule="auto"/>
      </w:pPr>
      <w:r>
        <w:lastRenderedPageBreak/>
        <w:t>Slide #6</w:t>
      </w:r>
      <w:r>
        <w:rPr>
          <w:noProof/>
        </w:rPr>
        <w:drawing>
          <wp:inline distT="0" distB="0" distL="0" distR="0" wp14:anchorId="34083EDC" wp14:editId="74BBF312">
            <wp:extent cx="5731510" cy="3210560"/>
            <wp:effectExtent l="0" t="0" r="2540" b="8890"/>
            <wp:docPr id="152882695" name="Picture 6" descr="Move F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2695" name="Picture 6" descr="Move Fas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F11" w14:textId="44D1DCDF" w:rsidR="00E20A0B" w:rsidRPr="00F90144" w:rsidRDefault="00000000" w:rsidP="00F901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90144">
        <w:rPr>
          <w:rFonts w:ascii="Open Sans" w:hAnsi="Open Sans" w:cs="Open Sans"/>
          <w:sz w:val="24"/>
          <w:szCs w:val="24"/>
        </w:rPr>
        <w:t>Whatever technique you use to de</w:t>
      </w:r>
      <w:r w:rsidR="00F90144">
        <w:rPr>
          <w:rFonts w:ascii="Open Sans" w:hAnsi="Open Sans" w:cs="Open Sans"/>
          <w:sz w:val="24"/>
          <w:szCs w:val="24"/>
        </w:rPr>
        <w:t>-</w:t>
      </w:r>
      <w:r w:rsidRPr="00F90144">
        <w:rPr>
          <w:rFonts w:ascii="Open Sans" w:hAnsi="Open Sans" w:cs="Open Sans"/>
          <w:sz w:val="24"/>
          <w:szCs w:val="24"/>
        </w:rPr>
        <w:t>anchor, you need to move fast. We should not give the anchor a chance to settle before de anchoring it.</w:t>
      </w:r>
    </w:p>
    <w:sectPr w:rsidR="00E20A0B" w:rsidRPr="00F901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8E228B3"/>
    <w:multiLevelType w:val="hybridMultilevel"/>
    <w:tmpl w:val="4838F764"/>
    <w:lvl w:ilvl="0" w:tplc="63CCF91C">
      <w:start w:val="1"/>
      <w:numFmt w:val="bullet"/>
      <w:lvlText w:val="●"/>
      <w:lvlJc w:val="left"/>
      <w:pPr>
        <w:ind w:left="720" w:hanging="360"/>
      </w:pPr>
    </w:lvl>
    <w:lvl w:ilvl="1" w:tplc="63F4F5E2">
      <w:start w:val="1"/>
      <w:numFmt w:val="bullet"/>
      <w:lvlText w:val="○"/>
      <w:lvlJc w:val="left"/>
      <w:pPr>
        <w:ind w:left="1440" w:hanging="360"/>
      </w:pPr>
    </w:lvl>
    <w:lvl w:ilvl="2" w:tplc="652823EA">
      <w:start w:val="1"/>
      <w:numFmt w:val="bullet"/>
      <w:lvlText w:val="■"/>
      <w:lvlJc w:val="left"/>
      <w:pPr>
        <w:ind w:left="2160" w:hanging="360"/>
      </w:pPr>
    </w:lvl>
    <w:lvl w:ilvl="3" w:tplc="4AECAF62">
      <w:start w:val="1"/>
      <w:numFmt w:val="bullet"/>
      <w:lvlText w:val="●"/>
      <w:lvlJc w:val="left"/>
      <w:pPr>
        <w:ind w:left="2880" w:hanging="360"/>
      </w:pPr>
    </w:lvl>
    <w:lvl w:ilvl="4" w:tplc="E87EDFB8">
      <w:start w:val="1"/>
      <w:numFmt w:val="bullet"/>
      <w:lvlText w:val="○"/>
      <w:lvlJc w:val="left"/>
      <w:pPr>
        <w:ind w:left="3600" w:hanging="360"/>
      </w:pPr>
    </w:lvl>
    <w:lvl w:ilvl="5" w:tplc="331E90C2">
      <w:start w:val="1"/>
      <w:numFmt w:val="bullet"/>
      <w:lvlText w:val="■"/>
      <w:lvlJc w:val="left"/>
      <w:pPr>
        <w:ind w:left="4320" w:hanging="360"/>
      </w:pPr>
    </w:lvl>
    <w:lvl w:ilvl="6" w:tplc="CF381ECC">
      <w:start w:val="1"/>
      <w:numFmt w:val="bullet"/>
      <w:lvlText w:val="●"/>
      <w:lvlJc w:val="left"/>
      <w:pPr>
        <w:ind w:left="5040" w:hanging="360"/>
      </w:pPr>
    </w:lvl>
    <w:lvl w:ilvl="7" w:tplc="EB50EE24">
      <w:start w:val="1"/>
      <w:numFmt w:val="bullet"/>
      <w:lvlText w:val="●"/>
      <w:lvlJc w:val="left"/>
      <w:pPr>
        <w:ind w:left="5760" w:hanging="360"/>
      </w:pPr>
    </w:lvl>
    <w:lvl w:ilvl="8" w:tplc="A3A8CDEC">
      <w:start w:val="1"/>
      <w:numFmt w:val="bullet"/>
      <w:lvlText w:val="●"/>
      <w:lvlJc w:val="left"/>
      <w:pPr>
        <w:ind w:left="6480" w:hanging="360"/>
      </w:pPr>
    </w:lvl>
  </w:abstractNum>
  <w:num w:numId="1" w16cid:durableId="896206495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0A0B"/>
    <w:rsid w:val="002509C1"/>
    <w:rsid w:val="00D708E3"/>
    <w:rsid w:val="00E20A0B"/>
    <w:rsid w:val="00F87143"/>
    <w:rsid w:val="00F90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4E0131"/>
  <w15:docId w15:val="{E3DAD1C2-DFDC-4D6C-8D39-2097B02C8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F90144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F90144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211</Words>
  <Characters>1207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M2L5 - Disarming anchoring bias</vt:lpstr>
    </vt:vector>
  </TitlesOfParts>
  <Company/>
  <LinksUpToDate>false</LinksUpToDate>
  <CharactersWithSpaces>1416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Disarming Anchoring Bias</dc:title>
  <dc:creator>Un-named</dc:creator>
  <cp:lastModifiedBy>Williams, Elisabeth G</cp:lastModifiedBy>
  <cp:revision>2</cp:revision>
  <cp:lastPrinted>2024-07-24T19:58:00Z</cp:lastPrinted>
  <dcterms:created xsi:type="dcterms:W3CDTF">2024-07-24T19:59:00Z</dcterms:created>
  <dcterms:modified xsi:type="dcterms:W3CDTF">2024-07-24T19:59:00Z</dcterms:modified>
</cp:coreProperties>
</file>